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6275" w14:textId="77777777" w:rsidR="00CA65E5" w:rsidRDefault="00432D35">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65040B7A" w14:textId="77777777" w:rsidR="00CA65E5" w:rsidRDefault="00432D35">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CA65E5" w14:paraId="4BDDFD93" w14:textId="77777777">
        <w:tc>
          <w:tcPr>
            <w:tcW w:w="5328" w:type="dxa"/>
            <w:shd w:val="clear" w:color="auto" w:fill="auto"/>
            <w:vAlign w:val="center"/>
          </w:tcPr>
          <w:p w14:paraId="67393384" w14:textId="77777777" w:rsidR="00CA65E5" w:rsidRDefault="00432D35">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14:paraId="187A33E2" w14:textId="77777777" w:rsidR="00CA65E5" w:rsidRDefault="00432D35">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 г.</w:t>
            </w:r>
          </w:p>
          <w:p w14:paraId="23253248" w14:textId="77777777" w:rsidR="00CA65E5" w:rsidRDefault="00432D35">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14:paraId="6506AB14" w14:textId="77777777" w:rsidR="00CA65E5" w:rsidRDefault="00432D35">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 г.</w:t>
            </w:r>
          </w:p>
        </w:tc>
      </w:tr>
    </w:tbl>
    <w:p w14:paraId="1E55CC0B"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"Лавка доменов"</w:t>
      </w:r>
      <w:r>
        <w:rPr>
          <w:rFonts w:ascii="Times New Roman" w:eastAsia="Times New Roman" w:hAnsi="Times New Roman"/>
          <w:bCs/>
          <w:color w:val="000000" w:themeColor="text1"/>
          <w:lang w:eastAsia="ru-RU"/>
        </w:rPr>
        <w:t xml:space="preserve"> (ОГРН 1167746714915</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в лице Генерального директора Пояркова Игоря Викентьевича</w:t>
      </w:r>
      <w:r>
        <w:rPr>
          <w:rFonts w:ascii="Times New Roman" w:eastAsia="Times New Roman" w:hAnsi="Times New Roman" w:cs="Times New Roman"/>
          <w:lang w:eastAsia="ru-RU"/>
        </w:rPr>
        <w:t xml:space="preserve">, действующего на основании Устава, с одной стороны и </w:t>
      </w:r>
      <w:r>
        <w:rPr>
          <w:rFonts w:ascii="Times New Roman" w:eastAsia="Times New Roman" w:hAnsi="Times New Roman" w:cs="Times New Roman"/>
          <w:b/>
          <w:lang w:eastAsia="ru-RU"/>
        </w:rPr>
        <w:t>ИП_______________________________</w:t>
      </w:r>
      <w:r>
        <w:rPr>
          <w:rFonts w:ascii="Times New Roman" w:eastAsia="Times New Roman" w:hAnsi="Times New Roman" w:cs="Times New Roman"/>
          <w:lang w:eastAsia="ru-RU"/>
        </w:rPr>
        <w:t xml:space="preserve"> (ПАСПОРТ_________________________________________________________________________________),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14:paraId="5C817B17"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14:paraId="6E5C0AED"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5C1C23AD" w14:textId="77777777"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proofErr w:type="gramStart"/>
      <w:r w:rsidRPr="00C84704">
        <w:rPr>
          <w:rStyle w:val="InternetLink"/>
          <w:rFonts w:ascii="Times New Roman" w:eastAsia="Times New Roman" w:hAnsi="Times New Roman" w:cs="Times New Roman"/>
          <w:color w:val="000000" w:themeColor="text1"/>
          <w:u w:val="none"/>
          <w:lang w:eastAsia="ru-RU"/>
        </w:rPr>
        <w:t>http</w:t>
      </w:r>
      <w:proofErr w:type="spellEnd"/>
      <w:r w:rsidRPr="00C84704">
        <w:rPr>
          <w:rStyle w:val="InternetLink"/>
          <w:rFonts w:ascii="Times New Roman" w:eastAsia="Times New Roman" w:hAnsi="Times New Roman" w:cs="Times New Roman"/>
          <w:color w:val="000000" w:themeColor="text1"/>
          <w:u w:val="none"/>
          <w:lang w:val="en-US" w:eastAsia="ru-RU"/>
        </w:rPr>
        <w:t>s</w:t>
      </w:r>
      <w:r w:rsidRPr="00C84704">
        <w:rPr>
          <w:rStyle w:val="InternetLink"/>
          <w:rFonts w:ascii="Times New Roman" w:eastAsia="Times New Roman" w:hAnsi="Times New Roman" w:cs="Times New Roman"/>
          <w:color w:val="000000" w:themeColor="text1"/>
          <w:u w:val="none"/>
          <w:lang w:eastAsia="ru-RU"/>
        </w:rPr>
        <w:t>://domainshop.ru</w:t>
      </w:r>
      <w:r w:rsidRPr="00C84704">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14:paraId="3E918E2C"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14:paraId="7107FE28" w14:textId="77777777" w:rsidR="00CA65E5" w:rsidRDefault="00432D35">
      <w:pPr>
        <w:numPr>
          <w:ilvl w:val="1"/>
          <w:numId w:val="1"/>
        </w:numPr>
        <w:spacing w:before="120" w:after="0" w:line="240" w:lineRule="auto"/>
        <w:jc w:val="both"/>
      </w:pPr>
      <w:bookmarkStart w:id="1" w:name="_Ref304188627"/>
      <w:bookmarkStart w:id="2" w:name="_Ref303964869"/>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C84704">
        <w:rPr>
          <w:rStyle w:val="InternetLink"/>
          <w:rFonts w:ascii="Times New Roman" w:eastAsia="Times New Roman" w:hAnsi="Times New Roman" w:cs="Times New Roman"/>
          <w:color w:val="000000" w:themeColor="text1"/>
          <w:u w:val="none"/>
          <w:lang w:val="en-US" w:eastAsia="ru-RU"/>
        </w:rPr>
        <w:t>https</w:t>
      </w:r>
      <w:r w:rsidRPr="00C84704">
        <w:rPr>
          <w:rStyle w:val="InternetLink"/>
          <w:rFonts w:ascii="Times New Roman" w:eastAsia="Times New Roman" w:hAnsi="Times New Roman" w:cs="Times New Roman"/>
          <w:color w:val="000000" w:themeColor="text1"/>
          <w:u w:val="none"/>
          <w:lang w:eastAsia="ru-RU"/>
        </w:rPr>
        <w:t>://</w:t>
      </w:r>
      <w:r w:rsidRPr="00C84704">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14:paraId="5AAE2C02"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bookmarkStart w:id="3"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14:paraId="66DB1CB8" w14:textId="77777777" w:rsidR="00CA65E5" w:rsidRDefault="00432D35">
      <w:pPr>
        <w:numPr>
          <w:ilvl w:val="1"/>
          <w:numId w:val="1"/>
        </w:numPr>
        <w:spacing w:before="120" w:after="0" w:line="240" w:lineRule="auto"/>
        <w:jc w:val="both"/>
      </w:pPr>
      <w:bookmarkStart w:id="4"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C84704">
        <w:rPr>
          <w:rStyle w:val="InternetLink"/>
          <w:rFonts w:ascii="Times New Roman" w:eastAsia="Times New Roman" w:hAnsi="Times New Roman" w:cs="Times New Roman"/>
          <w:color w:val="000000" w:themeColor="text1"/>
          <w:u w:val="none"/>
          <w:lang w:val="en-US" w:eastAsia="ru-RU"/>
        </w:rPr>
        <w:t>https</w:t>
      </w:r>
      <w:r w:rsidRPr="00C84704">
        <w:rPr>
          <w:rStyle w:val="InternetLink"/>
          <w:rFonts w:ascii="Times New Roman" w:eastAsia="Times New Roman" w:hAnsi="Times New Roman" w:cs="Times New Roman"/>
          <w:color w:val="000000" w:themeColor="text1"/>
          <w:u w:val="none"/>
          <w:lang w:eastAsia="ru-RU"/>
        </w:rPr>
        <w:t>://</w:t>
      </w:r>
      <w:r w:rsidRPr="00C84704">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4"/>
    </w:p>
    <w:p w14:paraId="7EE9B06E"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2"/>
    </w:p>
    <w:p w14:paraId="66227A3F"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14:paraId="53B8C0B1" w14:textId="77777777" w:rsidR="00CA65E5" w:rsidRDefault="00432D35">
      <w:pPr>
        <w:numPr>
          <w:ilvl w:val="2"/>
          <w:numId w:val="1"/>
        </w:numPr>
        <w:spacing w:before="120" w:after="0" w:line="240" w:lineRule="auto"/>
        <w:jc w:val="both"/>
      </w:pPr>
      <w:r>
        <w:rPr>
          <w:rFonts w:ascii="Times New Roman" w:eastAsia="Times New Roman" w:hAnsi="Times New Roman" w:cs="Times New Roman"/>
          <w:lang w:eastAsia="ru-RU"/>
        </w:rPr>
        <w:t>В случае, предусмотренном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71C51F2A" w14:textId="77777777" w:rsidR="00CA65E5" w:rsidRDefault="00432D35">
      <w:pPr>
        <w:widowControl w:val="0"/>
        <w:tabs>
          <w:tab w:val="left" w:pos="10366"/>
        </w:tabs>
        <w:spacing w:after="0" w:line="240" w:lineRule="auto"/>
        <w:ind w:firstLine="567"/>
        <w:jc w:val="both"/>
      </w:pPr>
      <w:r>
        <w:rPr>
          <w:rFonts w:ascii="Times New Roman" w:eastAsia="Times New Roman" w:hAnsi="Times New Roman" w:cs="Times New Roman"/>
          <w:lang w:eastAsia="ru-RU"/>
        </w:rPr>
        <w:lastRenderedPageBreak/>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14:paraId="3249786F"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479DFCA3"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12F1C98B" w14:textId="77777777" w:rsidR="00CA65E5" w:rsidRDefault="00432D35">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1A7BDD" w:rsidRPr="008567BD">
        <w:rPr>
          <w:rFonts w:ascii="Times New Roman" w:eastAsia="Times New Roman" w:hAnsi="Times New Roman" w:cs="Times New Roman"/>
          <w:lang w:eastAsia="ru-RU"/>
        </w:rPr>
        <w:t>http://www.cctld.ru/</w:t>
      </w:r>
      <w:r w:rsidR="001A7BDD">
        <w:rPr>
          <w:rFonts w:ascii="Times New Roman" w:eastAsia="Times New Roman" w:hAnsi="Times New Roman" w:cs="Times New Roman"/>
          <w:lang w:val="en-US" w:eastAsia="ru-RU"/>
        </w:rPr>
        <w:t>domains</w:t>
      </w:r>
      <w:r w:rsidR="001A7BDD" w:rsidRPr="007C56FD">
        <w:rPr>
          <w:rFonts w:ascii="Times New Roman" w:eastAsia="Times New Roman" w:hAnsi="Times New Roman" w:cs="Times New Roman"/>
          <w:lang w:eastAsia="ru-RU"/>
        </w:rPr>
        <w:t>/</w:t>
      </w:r>
      <w:proofErr w:type="spellStart"/>
      <w:r w:rsidR="001A7BDD" w:rsidRPr="008567BD">
        <w:rPr>
          <w:rFonts w:ascii="Times New Roman" w:eastAsia="Times New Roman" w:hAnsi="Times New Roman" w:cs="Times New Roman"/>
          <w:lang w:eastAsia="ru-RU"/>
        </w:rPr>
        <w:t>docs</w:t>
      </w:r>
      <w:proofErr w:type="spellEnd"/>
      <w:r w:rsidR="001A7BDD"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w:t>
      </w:r>
      <w:proofErr w:type="gramStart"/>
      <w:r>
        <w:rPr>
          <w:rFonts w:ascii="Times New Roman" w:eastAsia="Times New Roman" w:hAnsi="Times New Roman" w:cs="Times New Roman"/>
          <w:lang w:eastAsia="ru-RU"/>
        </w:rPr>
        <w:t xml:space="preserve">частности  </w:t>
      </w:r>
      <w:proofErr w:type="gramEnd"/>
      <w:r w:rsidRPr="00C84704">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60CD822E"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470810C0"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bookmarkStart w:id="6" w:name="_Ref272433406"/>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1B778120"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52A16744" w14:textId="77777777"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C84704">
        <w:rPr>
          <w:rStyle w:val="InternetLink"/>
          <w:rFonts w:ascii="Times New Roman" w:eastAsia="Times New Roman" w:hAnsi="Times New Roman" w:cs="Times New Roman"/>
          <w:color w:val="000000" w:themeColor="text1"/>
          <w:u w:val="none"/>
          <w:lang w:eastAsia="ru-RU"/>
        </w:rPr>
        <w:t>https://domainshop.ru</w:t>
      </w:r>
      <w:r>
        <w:rPr>
          <w:rFonts w:ascii="Times New Roman" w:eastAsia="Times New Roman" w:hAnsi="Times New Roman" w:cs="Times New Roman"/>
          <w:lang w:eastAsia="ru-RU"/>
        </w:rPr>
        <w:t>.</w:t>
      </w:r>
    </w:p>
    <w:p w14:paraId="15036FDA"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3FE6B0FF" w14:textId="77777777"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Pr="00C84704">
        <w:rPr>
          <w:rStyle w:val="InternetLink"/>
          <w:rFonts w:ascii="Times New Roman" w:hAnsi="Times New Roman" w:cs="Times New Roman"/>
          <w:color w:val="000000" w:themeColor="text1"/>
          <w:u w:val="none"/>
        </w:rPr>
        <w:t>http</w:t>
      </w:r>
      <w:proofErr w:type="spellEnd"/>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10210653"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5DFC4FE7"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33924223"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0CFFFDCD"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53B86715"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14:paraId="645760A7"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14:paraId="0723C036"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01918D6B"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47EB0562"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1E3A4D55"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3DB574D2"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754F65F1"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0206BD99"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57A4518D"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55D96631"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7" w:name="_Ref247707190"/>
      <w:bookmarkEnd w:id="7"/>
    </w:p>
    <w:p w14:paraId="103239B9"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71DD3277" w14:textId="77777777" w:rsidR="00CA65E5" w:rsidRPr="00C84704" w:rsidRDefault="00432D35">
      <w:pPr>
        <w:numPr>
          <w:ilvl w:val="1"/>
          <w:numId w:val="1"/>
        </w:numPr>
        <w:spacing w:before="120" w:after="0" w:line="240" w:lineRule="auto"/>
        <w:jc w:val="both"/>
        <w:rPr>
          <w:color w:val="000000" w:themeColor="text1"/>
        </w:rPr>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8" w:name="_Hlk485119015"/>
      <w:proofErr w:type="spellStart"/>
      <w:r w:rsidRPr="00C84704">
        <w:rPr>
          <w:rStyle w:val="InternetLink"/>
          <w:rFonts w:ascii="Times New Roman" w:hAnsi="Times New Roman" w:cs="Times New Roman"/>
          <w:color w:val="000000" w:themeColor="text1"/>
          <w:u w:val="none"/>
        </w:rPr>
        <w:t>http</w:t>
      </w:r>
      <w:proofErr w:type="spellEnd"/>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bookmarkEnd w:id="8"/>
      <w:r w:rsidRPr="00C84704">
        <w:rPr>
          <w:rFonts w:ascii="Times New Roman" w:eastAsia="Times New Roman" w:hAnsi="Times New Roman" w:cs="Times New Roman"/>
          <w:color w:val="000000" w:themeColor="text1"/>
          <w:lang w:eastAsia="ru-RU"/>
        </w:rPr>
        <w:t>.</w:t>
      </w:r>
    </w:p>
    <w:p w14:paraId="4DE5EB47"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bookmarkStart w:id="9"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14:paraId="087FD9F0"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2BD8892E"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2D137E02"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5FD5D377"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291E53AC"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0B7CC65A" w14:textId="77777777"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0" w:name="_Hlk485119182"/>
      <w:proofErr w:type="spellStart"/>
      <w:r w:rsidRPr="00C84704">
        <w:rPr>
          <w:rStyle w:val="InternetLink"/>
          <w:rFonts w:ascii="Times New Roman" w:hAnsi="Times New Roman" w:cs="Times New Roman"/>
          <w:color w:val="000000" w:themeColor="text1"/>
          <w:u w:val="none"/>
        </w:rPr>
        <w:t>http</w:t>
      </w:r>
      <w:proofErr w:type="spellEnd"/>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proofErr w:type="spellStart"/>
      <w:r w:rsidRPr="00C84704">
        <w:rPr>
          <w:rStyle w:val="InternetLink"/>
          <w:rFonts w:ascii="Times New Roman" w:hAnsi="Times New Roman" w:cs="Times New Roman"/>
          <w:color w:val="000000" w:themeColor="text1"/>
          <w:u w:val="none"/>
        </w:rPr>
        <w:t>contacts.php</w:t>
      </w:r>
      <w:bookmarkEnd w:id="10"/>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4CD22E81"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364EF377"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0DDEE597"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14:paraId="3B1A7EAA"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14:paraId="027A0B11"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1" w:name="_Ref280301625"/>
      <w:bookmarkEnd w:id="11"/>
    </w:p>
    <w:p w14:paraId="1F072D58"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14:paraId="71635C37"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0BD59342"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14:paraId="1B7F0666"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73252C1A"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14:paraId="7419D25C"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1DA80970"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14:paraId="527EC476"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14:paraId="6443B43D"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14:paraId="14666C0B" w14:textId="77777777"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2" w:name="_Hlk485119252"/>
      <w:r w:rsidRPr="00C84704">
        <w:rPr>
          <w:rStyle w:val="InternetLink"/>
          <w:rFonts w:ascii="Times New Roman" w:hAnsi="Times New Roman" w:cs="Times New Roman"/>
          <w:color w:val="000000" w:themeColor="text1"/>
          <w:u w:val="none"/>
        </w:rPr>
        <w:t>https://domainshop.ru</w:t>
      </w:r>
      <w:bookmarkEnd w:id="12"/>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14:paraId="384B9A58"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476CEC39"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38AF20C6"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31890C25"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71A3B477"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304F2EF2"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68C8BB2D"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14:paraId="77C18F33" w14:textId="77777777" w:rsidR="00CA65E5" w:rsidRDefault="00432D35">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579FA045" w14:textId="77777777" w:rsidR="00CA65E5" w:rsidRDefault="00432D35">
      <w:pPr>
        <w:pStyle w:val="af4"/>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14:paraId="21D463F0"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14:paraId="6C0AC51A"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74386B41" w14:textId="77777777"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14:paraId="3377A3B6"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253FEA">
        <w:rPr>
          <w:rFonts w:ascii="Times New Roman" w:eastAsia="Times New Roman" w:hAnsi="Times New Roman" w:cs="Times New Roman"/>
          <w:lang w:eastAsia="ru-RU"/>
        </w:rPr>
        <w:t xml:space="preserve">60 (шестьдесят) календарных дней </w:t>
      </w:r>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14:paraId="0FD043C7"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14:paraId="43C4E7C9"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73FCD039"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44CD227A"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0CB08142"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14:paraId="6A5B79C5" w14:textId="77777777"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3" w:name="_Hlk485119466"/>
      <w:proofErr w:type="spellStart"/>
      <w:r w:rsidRPr="00C84704">
        <w:rPr>
          <w:rStyle w:val="InternetLink"/>
          <w:rFonts w:ascii="Times New Roman" w:hAnsi="Times New Roman" w:cs="Times New Roman"/>
          <w:color w:val="000000" w:themeColor="text1"/>
          <w:u w:val="none"/>
        </w:rPr>
        <w:t>http</w:t>
      </w:r>
      <w:proofErr w:type="spellEnd"/>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bookmarkEnd w:id="13"/>
      <w:r>
        <w:rPr>
          <w:rFonts w:ascii="Times New Roman" w:eastAsia="Times New Roman" w:hAnsi="Times New Roman" w:cs="Times New Roman"/>
          <w:lang w:eastAsia="ru-RU"/>
        </w:rPr>
        <w:t xml:space="preserve">. </w:t>
      </w:r>
    </w:p>
    <w:p w14:paraId="525B6EA1"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18AFFE31"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32B76043"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3FF4C89A"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4" w:name="_Ref247642744"/>
      <w:r>
        <w:rPr>
          <w:rFonts w:ascii="Times New Roman" w:eastAsia="Times New Roman" w:hAnsi="Times New Roman" w:cs="Times New Roman"/>
          <w:b/>
          <w:spacing w:val="10"/>
          <w:lang w:eastAsia="ru-RU"/>
        </w:rPr>
        <w:t xml:space="preserve">АДРЕСА И РЕКВИЗИТЫ </w:t>
      </w:r>
      <w:bookmarkEnd w:id="14"/>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5324"/>
        <w:gridCol w:w="5324"/>
      </w:tblGrid>
      <w:tr w:rsidR="00CA65E5" w14:paraId="0AA5980A" w14:textId="77777777">
        <w:tc>
          <w:tcPr>
            <w:tcW w:w="5328" w:type="dxa"/>
            <w:tcBorders>
              <w:top w:val="single" w:sz="4" w:space="0" w:color="000000"/>
              <w:left w:val="single" w:sz="4" w:space="0" w:color="000000"/>
              <w:right w:val="single" w:sz="4" w:space="0" w:color="000000"/>
            </w:tcBorders>
            <w:shd w:val="clear" w:color="auto" w:fill="auto"/>
          </w:tcPr>
          <w:p w14:paraId="2CC082C1" w14:textId="77777777" w:rsidR="00CA65E5" w:rsidRDefault="00432D35">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14:paraId="7064F28A" w14:textId="77777777"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14:paraId="6BB97C76" w14:textId="77777777"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14:paraId="45E89D19" w14:textId="63A41DFD"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w:t>
            </w:r>
          </w:p>
          <w:p w14:paraId="07DFA705" w14:textId="15A12F66"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w:t>
            </w:r>
          </w:p>
          <w:p w14:paraId="2A17239D" w14:textId="77777777" w:rsidR="00CA65E5" w:rsidRDefault="00432D35">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14:paraId="54BE0BBC" w14:textId="77777777" w:rsidR="00CA65E5" w:rsidRDefault="00432D35">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FC69AF">
              <w:rPr>
                <w:rFonts w:ascii="Times New Roman" w:eastAsia="Times New Roman" w:hAnsi="Times New Roman"/>
                <w:color w:val="000000" w:themeColor="text1"/>
                <w:lang w:val="en-US" w:eastAsia="ru-RU"/>
              </w:rPr>
              <w:t>support@domainshop.ru</w:t>
            </w:r>
          </w:p>
        </w:tc>
        <w:tc>
          <w:tcPr>
            <w:tcW w:w="5329" w:type="dxa"/>
            <w:tcBorders>
              <w:top w:val="single" w:sz="4" w:space="0" w:color="000000"/>
              <w:left w:val="single" w:sz="4" w:space="0" w:color="000000"/>
              <w:right w:val="single" w:sz="4" w:space="0" w:color="000000"/>
            </w:tcBorders>
            <w:shd w:val="clear" w:color="auto" w:fill="auto"/>
          </w:tcPr>
          <w:p w14:paraId="19D51300" w14:textId="77777777" w:rsidR="00CA65E5" w:rsidRDefault="00432D35">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14:paraId="1E46A977" w14:textId="77777777"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14:paraId="17DFF221" w14:textId="77777777"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14:paraId="0558A2CD" w14:textId="77777777"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C8470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w:t>
            </w:r>
          </w:p>
          <w:p w14:paraId="346A388A" w14:textId="77777777"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14:paraId="6A07C419" w14:textId="77777777"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14:paraId="46FAD53D" w14:textId="77777777"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14:paraId="1FD35D0E" w14:textId="77777777"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CA65E5" w14:paraId="7A4B37AC" w14:textId="77777777">
        <w:tc>
          <w:tcPr>
            <w:tcW w:w="5328" w:type="dxa"/>
            <w:tcBorders>
              <w:left w:val="single" w:sz="4" w:space="0" w:color="000000"/>
              <w:right w:val="single" w:sz="4" w:space="0" w:color="000000"/>
            </w:tcBorders>
            <w:shd w:val="clear" w:color="auto" w:fill="auto"/>
          </w:tcPr>
          <w:p w14:paraId="0DC662B8" w14:textId="77777777" w:rsidR="00CA65E5" w:rsidRDefault="00CA65E5">
            <w:pPr>
              <w:tabs>
                <w:tab w:val="left" w:pos="900"/>
              </w:tabs>
              <w:spacing w:after="0" w:line="240" w:lineRule="auto"/>
              <w:jc w:val="both"/>
              <w:rPr>
                <w:rFonts w:ascii="Times New Roman" w:eastAsia="Times New Roman" w:hAnsi="Times New Roman"/>
                <w:color w:val="000000"/>
                <w:u w:val="single"/>
                <w:lang w:eastAsia="ru-RU"/>
              </w:rPr>
            </w:pPr>
          </w:p>
          <w:p w14:paraId="0EC5F155" w14:textId="77777777" w:rsidR="00CA65E5" w:rsidRDefault="00432D35">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14:paraId="5AC7FE1A" w14:textId="77777777"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14:paraId="456C1C70" w14:textId="7778669F"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sidR="00037F92" w:rsidRPr="00037F92">
              <w:rPr>
                <w:rFonts w:ascii="Times New Roman" w:hAnsi="Times New Roman"/>
                <w:color w:val="000000" w:themeColor="text1"/>
              </w:rPr>
              <w:t>30101810745374525104</w:t>
            </w:r>
          </w:p>
          <w:p w14:paraId="5F8BCB3A" w14:textId="22A154BE"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sidR="00037F92" w:rsidRPr="00037F92">
              <w:rPr>
                <w:rFonts w:ascii="Times New Roman" w:hAnsi="Times New Roman"/>
                <w:color w:val="000000" w:themeColor="text1"/>
              </w:rPr>
              <w:t>ООО "Банк Точка"</w:t>
            </w:r>
          </w:p>
          <w:p w14:paraId="11006869" w14:textId="161AAFCC"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sidR="00037F92" w:rsidRPr="00037F92">
              <w:rPr>
                <w:rFonts w:ascii="Times New Roman" w:hAnsi="Times New Roman"/>
                <w:color w:val="000000" w:themeColor="text1"/>
              </w:rPr>
              <w:t>044525104</w:t>
            </w:r>
          </w:p>
        </w:tc>
        <w:tc>
          <w:tcPr>
            <w:tcW w:w="5329" w:type="dxa"/>
            <w:tcBorders>
              <w:left w:val="single" w:sz="4" w:space="0" w:color="000000"/>
              <w:right w:val="single" w:sz="4" w:space="0" w:color="000000"/>
            </w:tcBorders>
            <w:shd w:val="clear" w:color="auto" w:fill="auto"/>
          </w:tcPr>
          <w:p w14:paraId="57B22CAE" w14:textId="77777777" w:rsidR="00CA65E5" w:rsidRDefault="00CA65E5">
            <w:pPr>
              <w:tabs>
                <w:tab w:val="left" w:pos="900"/>
              </w:tabs>
              <w:spacing w:after="0" w:line="240" w:lineRule="auto"/>
              <w:jc w:val="both"/>
              <w:rPr>
                <w:rFonts w:ascii="Times New Roman" w:eastAsia="Times New Roman" w:hAnsi="Times New Roman" w:cs="Times New Roman"/>
                <w:color w:val="000000"/>
                <w:u w:val="single"/>
                <w:lang w:eastAsia="ru-RU"/>
              </w:rPr>
            </w:pPr>
          </w:p>
          <w:p w14:paraId="6968F350" w14:textId="77777777" w:rsidR="00CA65E5" w:rsidRDefault="00CA65E5">
            <w:pPr>
              <w:tabs>
                <w:tab w:val="left" w:pos="900"/>
              </w:tabs>
              <w:spacing w:after="0" w:line="240" w:lineRule="auto"/>
              <w:jc w:val="both"/>
              <w:rPr>
                <w:rFonts w:ascii="Times New Roman" w:eastAsia="Times New Roman" w:hAnsi="Times New Roman" w:cs="Times New Roman"/>
                <w:color w:val="000000"/>
                <w:lang w:eastAsia="ru-RU"/>
              </w:rPr>
            </w:pPr>
          </w:p>
        </w:tc>
      </w:tr>
      <w:tr w:rsidR="00CA65E5" w14:paraId="3010C249" w14:textId="77777777">
        <w:tc>
          <w:tcPr>
            <w:tcW w:w="5328" w:type="dxa"/>
            <w:tcBorders>
              <w:left w:val="single" w:sz="4" w:space="0" w:color="000000"/>
              <w:bottom w:val="single" w:sz="4" w:space="0" w:color="000000"/>
              <w:right w:val="single" w:sz="4" w:space="0" w:color="000000"/>
            </w:tcBorders>
            <w:shd w:val="clear" w:color="auto" w:fill="auto"/>
          </w:tcPr>
          <w:p w14:paraId="32A3CC1A" w14:textId="77777777" w:rsidR="00CA65E5" w:rsidRDefault="00CA65E5">
            <w:pPr>
              <w:tabs>
                <w:tab w:val="left" w:pos="900"/>
              </w:tabs>
              <w:spacing w:after="0" w:line="240" w:lineRule="auto"/>
              <w:jc w:val="both"/>
              <w:rPr>
                <w:rFonts w:ascii="Times New Roman" w:eastAsia="Times New Roman" w:hAnsi="Times New Roman" w:cs="Times New Roman"/>
                <w:color w:val="000000"/>
                <w:lang w:eastAsia="ru-RU"/>
              </w:rPr>
            </w:pPr>
          </w:p>
          <w:p w14:paraId="50D9DCC8" w14:textId="77777777"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14:paraId="50F7CE9B" w14:textId="77777777"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4DBDE401" w14:textId="77777777"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08E0D016" w14:textId="77777777"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14:paraId="339B87AD" w14:textId="77777777"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70B0CDB6" w14:textId="77777777"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49D0C577" w14:textId="77777777"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14:paraId="693433EE" w14:textId="77777777"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14:paraId="12B9192A" w14:textId="77777777" w:rsidR="00CA65E5" w:rsidRDefault="00432D35">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14:paraId="620722B8" w14:textId="77777777" w:rsidR="00CA65E5" w:rsidRDefault="00CA65E5">
            <w:pPr>
              <w:tabs>
                <w:tab w:val="left" w:pos="900"/>
              </w:tabs>
              <w:spacing w:after="0" w:line="240" w:lineRule="auto"/>
              <w:jc w:val="both"/>
              <w:rPr>
                <w:rFonts w:ascii="Times New Roman" w:eastAsia="Times New Roman" w:hAnsi="Times New Roman" w:cs="Times New Roman"/>
                <w:b/>
                <w:color w:val="000000"/>
                <w:lang w:eastAsia="ru-RU"/>
              </w:rPr>
            </w:pPr>
          </w:p>
        </w:tc>
        <w:tc>
          <w:tcPr>
            <w:tcW w:w="5329" w:type="dxa"/>
            <w:tcBorders>
              <w:left w:val="single" w:sz="4" w:space="0" w:color="000000"/>
              <w:bottom w:val="single" w:sz="4" w:space="0" w:color="000000"/>
              <w:right w:val="single" w:sz="4" w:space="0" w:color="000000"/>
            </w:tcBorders>
            <w:shd w:val="clear" w:color="auto" w:fill="auto"/>
          </w:tcPr>
          <w:p w14:paraId="46CBCB1A" w14:textId="77777777" w:rsidR="00CA65E5" w:rsidRDefault="00CA65E5">
            <w:pPr>
              <w:tabs>
                <w:tab w:val="left" w:pos="900"/>
              </w:tabs>
              <w:spacing w:after="0" w:line="240" w:lineRule="auto"/>
              <w:jc w:val="both"/>
              <w:rPr>
                <w:rFonts w:ascii="Times New Roman" w:eastAsia="Times New Roman" w:hAnsi="Times New Roman" w:cs="Times New Roman"/>
                <w:color w:val="000000"/>
                <w:lang w:eastAsia="ru-RU"/>
              </w:rPr>
            </w:pPr>
          </w:p>
          <w:p w14:paraId="133B919E" w14:textId="77777777"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14:paraId="6F4E26D3" w14:textId="77777777"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243450FC" w14:textId="77777777"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06138F6B" w14:textId="77777777"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14:paraId="3771B45E" w14:textId="77777777"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20215257" w14:textId="77777777"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3960A56E" w14:textId="77777777"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14:paraId="4BB72DEC" w14:textId="77777777"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14:paraId="4D69A315" w14:textId="77777777" w:rsidR="00CA65E5" w:rsidRDefault="00432D35">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14:paraId="68A22921" w14:textId="77777777" w:rsidR="00CA65E5" w:rsidRDefault="00CA65E5">
            <w:pPr>
              <w:tabs>
                <w:tab w:val="left" w:pos="900"/>
              </w:tabs>
              <w:spacing w:after="0" w:line="240" w:lineRule="auto"/>
              <w:jc w:val="both"/>
              <w:rPr>
                <w:rFonts w:ascii="Times New Roman" w:eastAsia="Times New Roman" w:hAnsi="Times New Roman" w:cs="Times New Roman"/>
                <w:b/>
                <w:bCs/>
                <w:color w:val="000000"/>
                <w:lang w:eastAsia="ru-RU"/>
              </w:rPr>
            </w:pPr>
          </w:p>
        </w:tc>
      </w:tr>
    </w:tbl>
    <w:p w14:paraId="0DFA488F" w14:textId="77777777" w:rsidR="00CA65E5" w:rsidRDefault="00CA65E5">
      <w:pPr>
        <w:pStyle w:val="af4"/>
        <w:spacing w:after="0" w:line="240" w:lineRule="auto"/>
        <w:ind w:left="360"/>
      </w:pPr>
    </w:p>
    <w:sectPr w:rsidR="00CA65E5">
      <w:footerReference w:type="default" r:id="rId8"/>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6468" w14:textId="77777777" w:rsidR="005A6631" w:rsidRDefault="005A6631">
      <w:pPr>
        <w:spacing w:after="0" w:line="240" w:lineRule="auto"/>
      </w:pPr>
      <w:r>
        <w:separator/>
      </w:r>
    </w:p>
  </w:endnote>
  <w:endnote w:type="continuationSeparator" w:id="0">
    <w:p w14:paraId="31D00043" w14:textId="77777777" w:rsidR="005A6631" w:rsidRDefault="005A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Look w:val="01E0" w:firstRow="1" w:lastRow="1" w:firstColumn="1" w:lastColumn="1" w:noHBand="0" w:noVBand="0"/>
    </w:tblPr>
    <w:tblGrid>
      <w:gridCol w:w="4547"/>
      <w:gridCol w:w="4265"/>
      <w:gridCol w:w="1739"/>
    </w:tblGrid>
    <w:tr w:rsidR="00CA65E5" w14:paraId="4BCE49C0" w14:textId="77777777">
      <w:tc>
        <w:tcPr>
          <w:tcW w:w="4547" w:type="dxa"/>
          <w:shd w:val="clear" w:color="auto" w:fill="auto"/>
        </w:tcPr>
        <w:p w14:paraId="1DB14CBD" w14:textId="77777777" w:rsidR="00CA65E5" w:rsidRDefault="00CA65E5">
          <w:pPr>
            <w:pStyle w:val="af0"/>
            <w:rPr>
              <w:i/>
              <w:sz w:val="20"/>
              <w:szCs w:val="20"/>
            </w:rPr>
          </w:pPr>
        </w:p>
      </w:tc>
      <w:tc>
        <w:tcPr>
          <w:tcW w:w="4265" w:type="dxa"/>
          <w:shd w:val="clear" w:color="auto" w:fill="auto"/>
        </w:tcPr>
        <w:p w14:paraId="35D9AE33" w14:textId="77777777" w:rsidR="00CA65E5" w:rsidRDefault="00CA65E5">
          <w:pPr>
            <w:pStyle w:val="af0"/>
            <w:rPr>
              <w:i/>
              <w:sz w:val="20"/>
              <w:szCs w:val="20"/>
              <w:lang w:val="en-GB"/>
            </w:rPr>
          </w:pPr>
        </w:p>
      </w:tc>
      <w:tc>
        <w:tcPr>
          <w:tcW w:w="1739" w:type="dxa"/>
          <w:shd w:val="clear" w:color="auto" w:fill="auto"/>
          <w:vAlign w:val="center"/>
        </w:tcPr>
        <w:p w14:paraId="7AFCB590" w14:textId="77777777" w:rsidR="00CA65E5" w:rsidRDefault="00432D35">
          <w:pPr>
            <w:pStyle w:val="af0"/>
            <w:jc w:val="right"/>
          </w:pPr>
          <w:proofErr w:type="spellStart"/>
          <w:r>
            <w:rPr>
              <w:i/>
              <w:sz w:val="20"/>
              <w:szCs w:val="20"/>
              <w:lang w:val="en-GB"/>
            </w:rPr>
            <w:t>стр</w:t>
          </w:r>
          <w:proofErr w:type="spellEnd"/>
          <w:r>
            <w:rPr>
              <w:i/>
              <w:sz w:val="20"/>
              <w:szCs w:val="20"/>
              <w:lang w:val="en-GB"/>
            </w:rPr>
            <w:t xml:space="preserve">. </w:t>
          </w:r>
          <w:r>
            <w:rPr>
              <w:sz w:val="20"/>
              <w:szCs w:val="20"/>
            </w:rPr>
            <w:fldChar w:fldCharType="begin"/>
          </w:r>
          <w:r>
            <w:rPr>
              <w:sz w:val="20"/>
              <w:szCs w:val="20"/>
            </w:rPr>
            <w:instrText>PAGE</w:instrText>
          </w:r>
          <w:r>
            <w:rPr>
              <w:sz w:val="20"/>
              <w:szCs w:val="20"/>
            </w:rPr>
            <w:fldChar w:fldCharType="separate"/>
          </w:r>
          <w:r>
            <w:rPr>
              <w:sz w:val="20"/>
              <w:szCs w:val="20"/>
            </w:rPr>
            <w:t>4</w:t>
          </w:r>
          <w:r>
            <w:rPr>
              <w:sz w:val="20"/>
              <w:szCs w:val="20"/>
            </w:rPr>
            <w:fldChar w:fldCharType="end"/>
          </w:r>
          <w:r>
            <w:rPr>
              <w:sz w:val="20"/>
              <w:szCs w:val="20"/>
              <w:lang w:val="en-US"/>
            </w:rPr>
            <w:t xml:space="preserve"> </w:t>
          </w:r>
          <w:proofErr w:type="spellStart"/>
          <w:r>
            <w:rPr>
              <w:i/>
              <w:sz w:val="20"/>
              <w:szCs w:val="20"/>
              <w:lang w:val="en-GB"/>
            </w:rPr>
            <w:t>из</w:t>
          </w:r>
          <w:proofErr w:type="spellEnd"/>
          <w:r>
            <w:rPr>
              <w:i/>
              <w:sz w:val="20"/>
              <w:szCs w:val="20"/>
              <w:lang w:val="en-GB"/>
            </w:rPr>
            <w:t xml:space="preserve"> </w:t>
          </w:r>
          <w:bookmarkStart w:id="15" w:name="__Fieldmark__546_3913936051"/>
          <w:bookmarkEnd w:id="15"/>
          <w:r>
            <w:rPr>
              <w:i/>
              <w:sz w:val="20"/>
              <w:szCs w:val="20"/>
              <w:lang w:val="en-GB"/>
            </w:rPr>
            <w:t>6</w:t>
          </w:r>
        </w:p>
      </w:tc>
    </w:tr>
  </w:tbl>
  <w:p w14:paraId="43F02F14" w14:textId="77777777" w:rsidR="00CA65E5" w:rsidRDefault="00CA65E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0AB6" w14:textId="77777777" w:rsidR="005A6631" w:rsidRDefault="005A6631">
      <w:pPr>
        <w:spacing w:after="0" w:line="240" w:lineRule="auto"/>
      </w:pPr>
      <w:r>
        <w:separator/>
      </w:r>
    </w:p>
  </w:footnote>
  <w:footnote w:type="continuationSeparator" w:id="0">
    <w:p w14:paraId="54DFEA04" w14:textId="77777777" w:rsidR="005A6631" w:rsidRDefault="005A6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1F8"/>
    <w:multiLevelType w:val="multilevel"/>
    <w:tmpl w:val="B90CB648"/>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B756927"/>
    <w:multiLevelType w:val="multilevel"/>
    <w:tmpl w:val="96B65A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40148232">
    <w:abstractNumId w:val="0"/>
  </w:num>
  <w:num w:numId="2" w16cid:durableId="1492212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E5"/>
    <w:rsid w:val="00037F92"/>
    <w:rsid w:val="001A7BDD"/>
    <w:rsid w:val="00253FEA"/>
    <w:rsid w:val="00432D35"/>
    <w:rsid w:val="0051574E"/>
    <w:rsid w:val="005A6631"/>
    <w:rsid w:val="006D1654"/>
    <w:rsid w:val="00A23569"/>
    <w:rsid w:val="00AC3DA9"/>
    <w:rsid w:val="00B435F7"/>
    <w:rsid w:val="00BA3950"/>
    <w:rsid w:val="00C84704"/>
    <w:rsid w:val="00CA65E5"/>
    <w:rsid w:val="00D12359"/>
    <w:rsid w:val="00FC69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9681"/>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FollowedHyperlink"/>
    <w:basedOn w:val="a0"/>
    <w:uiPriority w:val="99"/>
    <w:semiHidden/>
    <w:unhideWhenUsed/>
    <w:qFormat/>
    <w:rsid w:val="003E3DAF"/>
    <w:rPr>
      <w:color w:val="800080" w:themeColor="followedHyperlink"/>
      <w:u w:val="single"/>
    </w:rPr>
  </w:style>
  <w:style w:type="character" w:styleId="ab">
    <w:name w:val="Unresolved Mention"/>
    <w:basedOn w:val="a0"/>
    <w:uiPriority w:val="99"/>
    <w:semiHidden/>
    <w:unhideWhenUsed/>
    <w:qFormat/>
    <w:rsid w:val="00B359E0"/>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paragraph" w:customStyle="1" w:styleId="Heading">
    <w:name w:val="Heading"/>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pPr>
      <w:spacing w:after="140"/>
    </w:p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f">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0">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1">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2">
    <w:name w:val="annotation subject"/>
    <w:basedOn w:val="af"/>
    <w:uiPriority w:val="99"/>
    <w:semiHidden/>
    <w:unhideWhenUsed/>
    <w:qFormat/>
    <w:rsid w:val="004A342E"/>
    <w:pPr>
      <w:spacing w:after="200"/>
    </w:pPr>
    <w:rPr>
      <w:rFonts w:asciiTheme="minorHAnsi" w:eastAsiaTheme="minorHAnsi" w:hAnsiTheme="minorHAnsi" w:cstheme="minorBidi"/>
      <w:b/>
      <w:bCs/>
      <w:lang w:eastAsia="en-US"/>
    </w:rPr>
  </w:style>
  <w:style w:type="paragraph" w:styleId="af3">
    <w:name w:val="header"/>
    <w:basedOn w:val="a"/>
    <w:uiPriority w:val="99"/>
    <w:unhideWhenUsed/>
    <w:rsid w:val="00CB279B"/>
    <w:pPr>
      <w:tabs>
        <w:tab w:val="center" w:pos="4677"/>
        <w:tab w:val="right" w:pos="9355"/>
      </w:tabs>
      <w:spacing w:after="0" w:line="240" w:lineRule="auto"/>
    </w:pPr>
  </w:style>
  <w:style w:type="paragraph" w:styleId="af4">
    <w:name w:val="List Paragraph"/>
    <w:basedOn w:val="a"/>
    <w:uiPriority w:val="34"/>
    <w:qFormat/>
    <w:rsid w:val="001F178F"/>
    <w:pPr>
      <w:ind w:left="720"/>
      <w:contextualSpacing/>
    </w:pPr>
  </w:style>
  <w:style w:type="numbering" w:customStyle="1" w:styleId="af5">
    <w:name w:val="Мой процесс доки"/>
    <w:uiPriority w:val="99"/>
    <w:qFormat/>
    <w:rsid w:val="00335BD6"/>
  </w:style>
  <w:style w:type="table" w:styleId="af6">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7E2F-676B-D04F-ACEE-84DF30CA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3898</Words>
  <Characters>22221</Characters>
  <Application>Microsoft Office Word</Application>
  <DocSecurity>0</DocSecurity>
  <Lines>185</Lines>
  <Paragraphs>52</Paragraphs>
  <ScaleCrop>false</ScaleCrop>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2</cp:revision>
  <cp:lastPrinted>2011-09-19T01:40:00Z</cp:lastPrinted>
  <dcterms:created xsi:type="dcterms:W3CDTF">2023-05-11T05:34:00Z</dcterms:created>
  <dcterms:modified xsi:type="dcterms:W3CDTF">2023-05-11T05:34:00Z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
    <vt:lpwstr>Vadim Kolosov</vt:lpwstr>
  </property>
  <property fmtid="{D5CDD505-2E9C-101B-9397-08002B2CF9AE}" pid="9" name="????????">
    <vt:lpwstr>kolosov.info</vt:lpwstr>
  </property>
  <property fmtid="{D5CDD505-2E9C-101B-9397-08002B2CF9AE}" pid="10" name="??????">
    <vt:lpwstr>63</vt:lpwstr>
  </property>
</Properties>
</file>